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96" w:rsidRPr="00A54496" w:rsidRDefault="00A54496" w:rsidP="00A54496">
      <w:pPr>
        <w:spacing w:beforeAutospacing="1" w:after="0" w:afterAutospacing="1" w:line="240" w:lineRule="auto"/>
        <w:jc w:val="center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TEMATICA </w:t>
      </w:r>
      <w:r w:rsidRPr="00A54496">
        <w:rPr>
          <w:rFonts w:ascii="Cambria" w:eastAsia="Times New Roman" w:hAnsi="Cambria" w:cs="Cambria"/>
          <w:b/>
          <w:bCs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I BIBLIOGRAFIA</w:t>
      </w:r>
    </w:p>
    <w:p w:rsidR="00A54496" w:rsidRPr="00A54496" w:rsidRDefault="00A54496" w:rsidP="00A54496">
      <w:pPr>
        <w:spacing w:beforeAutospacing="1" w:after="0" w:afterAutospacing="1" w:line="240" w:lineRule="auto"/>
        <w:jc w:val="center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proofErr w:type="gram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pentru</w:t>
      </w:r>
      <w:proofErr w:type="spellEnd"/>
      <w:proofErr w:type="gram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ocuparea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</w:t>
      </w: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 13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posturi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vacante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ofi</w:t>
      </w:r>
      <w:r w:rsidRPr="00A54496">
        <w:rPr>
          <w:rFonts w:ascii="Cambria" w:eastAsia="Times New Roman" w:hAnsi="Cambria" w:cs="Cambria"/>
          <w:b/>
          <w:bCs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er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b/>
          <w:bCs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ie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specialitatea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r w:rsidRPr="00A54496">
        <w:rPr>
          <w:rFonts w:ascii="Times" w:eastAsia="Times New Roman" w:hAnsi="Times" w:cs="Times"/>
          <w:b/>
          <w:bCs/>
          <w:sz w:val="28"/>
          <w:szCs w:val="28"/>
          <w:lang w:val="en-US"/>
        </w:rPr>
        <w:t>„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ordine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public</w:t>
      </w:r>
      <w:r w:rsidRPr="00A54496">
        <w:rPr>
          <w:rFonts w:ascii="Cambria" w:eastAsia="Times New Roman" w:hAnsi="Cambria" w:cs="Cambria"/>
          <w:b/>
          <w:bCs/>
          <w:sz w:val="28"/>
          <w:szCs w:val="28"/>
          <w:lang w:val="en-US"/>
        </w:rPr>
        <w:t>ă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r w:rsidRPr="00A54496">
        <w:rPr>
          <w:rFonts w:ascii="Times" w:eastAsia="Times New Roman" w:hAnsi="Times" w:cs="Times"/>
          <w:b/>
          <w:bCs/>
          <w:sz w:val="28"/>
          <w:szCs w:val="28"/>
          <w:lang w:val="en-US"/>
        </w:rPr>
        <w:t>–</w:t>
      </w: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electronist</w:t>
      </w:r>
      <w:proofErr w:type="spellEnd"/>
      <w:r w:rsidRPr="00A54496">
        <w:rPr>
          <w:rFonts w:ascii="Times" w:eastAsia="Times New Roman" w:hAnsi="Times" w:cs="Times"/>
          <w:b/>
          <w:bCs/>
          <w:sz w:val="28"/>
          <w:szCs w:val="28"/>
          <w:lang w:val="en-US"/>
        </w:rPr>
        <w:t>” </w:t>
      </w:r>
      <w:proofErr w:type="spellStart"/>
      <w:r w:rsidRPr="00A54496">
        <w:rPr>
          <w:rFonts w:ascii="Cambria" w:eastAsia="Times New Roman" w:hAnsi="Cambria" w:cs="Cambria"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 a 6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posturi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vacante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de agent de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b/>
          <w:bCs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ie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specialitatea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r w:rsidRPr="00A54496">
        <w:rPr>
          <w:rFonts w:ascii="Times" w:eastAsia="Times New Roman" w:hAnsi="Times" w:cs="Times"/>
          <w:b/>
          <w:bCs/>
          <w:sz w:val="28"/>
          <w:szCs w:val="28"/>
          <w:lang w:val="en-US"/>
        </w:rPr>
        <w:t>„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ordine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public</w:t>
      </w:r>
      <w:r w:rsidRPr="00A54496">
        <w:rPr>
          <w:rFonts w:ascii="Cambria" w:eastAsia="Times New Roman" w:hAnsi="Cambria" w:cs="Cambria"/>
          <w:b/>
          <w:bCs/>
          <w:sz w:val="28"/>
          <w:szCs w:val="28"/>
          <w:lang w:val="en-US"/>
        </w:rPr>
        <w:t>ă</w:t>
      </w:r>
      <w:proofErr w:type="spellEnd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r w:rsidRPr="00A54496">
        <w:rPr>
          <w:rFonts w:ascii="Times" w:eastAsia="Times New Roman" w:hAnsi="Times" w:cs="Times"/>
          <w:b/>
          <w:bCs/>
          <w:sz w:val="28"/>
          <w:szCs w:val="28"/>
          <w:lang w:val="en-US"/>
        </w:rPr>
        <w:t>–</w:t>
      </w: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electronist</w:t>
      </w:r>
      <w:proofErr w:type="spellEnd"/>
      <w:r w:rsidRPr="00A54496">
        <w:rPr>
          <w:rFonts w:ascii="Times" w:eastAsia="Times New Roman" w:hAnsi="Times" w:cs="Times"/>
          <w:b/>
          <w:bCs/>
          <w:sz w:val="28"/>
          <w:szCs w:val="28"/>
          <w:lang w:val="en-US"/>
        </w:rPr>
        <w:t>” 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cadrul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iei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Rom</w:t>
      </w:r>
      <w:r w:rsidRPr="00A54496">
        <w:rPr>
          <w:rFonts w:ascii="Times" w:eastAsia="Times New Roman" w:hAnsi="Times" w:cs="Times"/>
          <w:sz w:val="28"/>
          <w:szCs w:val="28"/>
          <w:lang w:val="en-US"/>
        </w:rPr>
        <w:t>â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ne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Times"/>
          <w:sz w:val="28"/>
          <w:szCs w:val="28"/>
          <w:lang w:val="en-US"/>
        </w:rPr>
        <w:t>î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ncadrare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direct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din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surs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extern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persoanelor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cu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studii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corespunz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ă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toare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cerin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postului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Cambria" w:eastAsia="Times New Roman" w:hAnsi="Cambria" w:cs="Cambria"/>
          <w:sz w:val="28"/>
          <w:szCs w:val="28"/>
          <w:lang w:val="en-US"/>
        </w:rPr>
        <w:t>ş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care </w:t>
      </w:r>
      <w:proofErr w:type="spellStart"/>
      <w:r w:rsidRPr="00A54496">
        <w:rPr>
          <w:rFonts w:ascii="Times" w:eastAsia="Times New Roman" w:hAnsi="Times" w:cs="Times"/>
          <w:sz w:val="28"/>
          <w:szCs w:val="28"/>
          <w:lang w:val="en-US"/>
        </w:rPr>
        <w:t>î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ndeplinesc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condi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legale</w:t>
      </w:r>
      <w:proofErr w:type="spellEnd"/>
    </w:p>
    <w:p w:rsidR="00A54496" w:rsidRPr="00A54496" w:rsidRDefault="00A54496" w:rsidP="00A54496">
      <w:pPr>
        <w:spacing w:before="100" w:beforeAutospacing="1" w:after="100" w:afterAutospacing="1" w:line="240" w:lineRule="auto"/>
        <w:jc w:val="center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  <w:bookmarkStart w:id="0" w:name="_GoBack"/>
      <w:bookmarkEnd w:id="0"/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CAPITOLUL I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numPr>
          <w:ilvl w:val="0"/>
          <w:numId w:val="1"/>
        </w:numPr>
        <w:spacing w:beforeAutospacing="1" w:after="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TEMATICA</w:t>
      </w:r>
    </w:p>
    <w:p w:rsidR="00A54496" w:rsidRPr="00A54496" w:rsidRDefault="00A54496" w:rsidP="00A5449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Organizarea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Cambria" w:eastAsia="Times New Roman" w:hAnsi="Cambria" w:cs="Cambria"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func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ionarea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iei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Rom</w:t>
      </w:r>
      <w:r w:rsidRPr="00A54496">
        <w:rPr>
          <w:rFonts w:ascii="Times" w:eastAsia="Times New Roman" w:hAnsi="Times" w:cs="Times"/>
          <w:sz w:val="28"/>
          <w:szCs w:val="28"/>
          <w:lang w:val="en-US"/>
        </w:rPr>
        <w:t>â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ne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Atribu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iei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Rom</w:t>
      </w:r>
      <w:r w:rsidRPr="00A54496">
        <w:rPr>
          <w:rFonts w:ascii="Times" w:eastAsia="Times New Roman" w:hAnsi="Times" w:cs="Times"/>
          <w:sz w:val="28"/>
          <w:szCs w:val="28"/>
          <w:lang w:val="en-US"/>
        </w:rPr>
        <w:t>â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ne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Drepturile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Cambria" w:eastAsia="Times New Roman" w:hAnsi="Cambria" w:cs="Cambria"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obliga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tilor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Drepturile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îndatoririle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Cambria" w:eastAsia="Times New Roman" w:hAnsi="Cambria" w:cs="Cambria"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restrângerea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exerci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unor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drepturi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sau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libert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ăț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ale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istului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Recompense,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ă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spunderea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juridic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Cambria" w:eastAsia="Times New Roman" w:hAnsi="Cambria" w:cs="Cambria"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sanc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iuni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Încetarea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raporturilor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serviciu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ale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istului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Etica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Cambria" w:eastAsia="Times New Roman" w:hAnsi="Cambria" w:cs="Cambria"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deontologia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ieneasc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.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numPr>
          <w:ilvl w:val="0"/>
          <w:numId w:val="3"/>
        </w:numPr>
        <w:spacing w:beforeAutospacing="1" w:after="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BIBLIOGRAFIE</w:t>
      </w:r>
    </w:p>
    <w:p w:rsidR="00A54496" w:rsidRPr="00A54496" w:rsidRDefault="00A54496" w:rsidP="00A5449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Legea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nr. 218/2002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republicat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)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organizarea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Cambria" w:eastAsia="Times New Roman" w:hAnsi="Cambria" w:cs="Cambria"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func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ionarea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iei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Rom</w:t>
      </w:r>
      <w:r w:rsidRPr="00A54496">
        <w:rPr>
          <w:rFonts w:ascii="Times" w:eastAsia="Times New Roman" w:hAnsi="Times" w:cs="Times"/>
          <w:sz w:val="28"/>
          <w:szCs w:val="28"/>
          <w:lang w:val="en-US"/>
        </w:rPr>
        <w:t>â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ne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(Cap. II, Cap. III, Cap. V);</w:t>
      </w:r>
    </w:p>
    <w:p w:rsidR="00A54496" w:rsidRPr="00A54496" w:rsidRDefault="00A54496" w:rsidP="00A5449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Legea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nr. 360/2002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Statutul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istului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(Cap. I, Cap. III </w:t>
      </w:r>
      <w:r w:rsidRPr="00A54496">
        <w:rPr>
          <w:rFonts w:ascii="Times" w:eastAsia="Times New Roman" w:hAnsi="Times" w:cs="Times"/>
          <w:sz w:val="28"/>
          <w:szCs w:val="28"/>
          <w:lang w:val="en-US"/>
        </w:rPr>
        <w:t>–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Sec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iunea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1,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Sec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iunea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2-a,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Sec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iunea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3-a, Cap. IV, Cap. V);</w:t>
      </w:r>
    </w:p>
    <w:p w:rsidR="00A54496" w:rsidRPr="00A54496" w:rsidRDefault="00A54496" w:rsidP="00A54496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H.G. nr. 991/2005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pentru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aprobarea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Codului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etic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Cambria" w:eastAsia="Times New Roman" w:hAnsi="Cambria" w:cs="Cambria"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deontologie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al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istului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Cambria" w:eastAsia="Times New Roman" w:hAnsi="Cambria" w:cs="Cambria"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Anexa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Codul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etic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Cambria" w:eastAsia="Times New Roman" w:hAnsi="Cambria" w:cs="Cambria"/>
          <w:sz w:val="28"/>
          <w:szCs w:val="28"/>
          <w:lang w:val="en-US"/>
        </w:rPr>
        <w:t>ș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deontologie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al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poli</w:t>
      </w:r>
      <w:r w:rsidRPr="00A54496">
        <w:rPr>
          <w:rFonts w:ascii="Cambria" w:eastAsia="Times New Roman" w:hAnsi="Cambria" w:cs="Cambria"/>
          <w:sz w:val="28"/>
          <w:szCs w:val="28"/>
          <w:lang w:val="en-US"/>
        </w:rPr>
        <w:t>ț</w:t>
      </w:r>
      <w:r w:rsidRPr="00A54496">
        <w:rPr>
          <w:rFonts w:ascii="Times" w:eastAsia="Times New Roman" w:hAnsi="Times" w:cs="Arial"/>
          <w:sz w:val="28"/>
          <w:szCs w:val="28"/>
          <w:lang w:val="en-US"/>
        </w:rPr>
        <w:t>istului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);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lastRenderedPageBreak/>
        <w:t> 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CAPITOLUL II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2.1. TEMATICA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CODUL PENAL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PARTEA GENERAL</w:t>
      </w:r>
      <w:r w:rsidRPr="00A54496">
        <w:rPr>
          <w:rFonts w:ascii="Cambria" w:eastAsia="Times New Roman" w:hAnsi="Cambria" w:cs="Cambria"/>
          <w:b/>
          <w:bCs/>
          <w:sz w:val="28"/>
          <w:szCs w:val="28"/>
          <w:lang w:val="en-US"/>
        </w:rPr>
        <w:t>Ă</w:t>
      </w:r>
    </w:p>
    <w:p w:rsidR="00A54496" w:rsidRPr="00A54496" w:rsidRDefault="00A54496" w:rsidP="00A5449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Infracțiunea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II - Cap. I, Cap. II, Cap. III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VI);</w:t>
      </w:r>
    </w:p>
    <w:p w:rsidR="00A54496" w:rsidRPr="00A54496" w:rsidRDefault="00A54496" w:rsidP="00A5449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Răspunderea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penală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persoanei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juridice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VI - Cap. I, Cap. II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III);</w:t>
      </w:r>
    </w:p>
    <w:p w:rsidR="00A54496" w:rsidRPr="00A54496" w:rsidRDefault="00A54496" w:rsidP="00A5449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Cauzele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care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înlătură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răspunderea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penală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VII);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PARTEA SPECIALĂ</w:t>
      </w:r>
    </w:p>
    <w:p w:rsidR="00A54496" w:rsidRPr="00A54496" w:rsidRDefault="00A54496" w:rsidP="00A5449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Infracțiuni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contra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persoanei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 - Cap. I, Cap. II, Cap. V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VI);</w:t>
      </w:r>
    </w:p>
    <w:p w:rsidR="00A54496" w:rsidRPr="00A54496" w:rsidRDefault="00A54496" w:rsidP="00A5449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Infracțiuni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contra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patrimoniului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II);</w:t>
      </w:r>
    </w:p>
    <w:p w:rsidR="00A54496" w:rsidRPr="00A54496" w:rsidRDefault="00A54496" w:rsidP="00A5449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Infracțiuni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contra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înfăptuirii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justiției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IV);</w:t>
      </w:r>
    </w:p>
    <w:p w:rsidR="00A54496" w:rsidRPr="00A54496" w:rsidRDefault="00A54496" w:rsidP="00A5449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Infracțiuni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corupție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serviciu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V);</w:t>
      </w:r>
    </w:p>
    <w:p w:rsidR="00A54496" w:rsidRPr="00A54496" w:rsidRDefault="00A54496" w:rsidP="00A54496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Infracțiuni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fals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VI - Cap. II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III)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CODUL DE PROCEDURĂ PENALĂ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PARTEA GENERALĂ</w:t>
      </w:r>
    </w:p>
    <w:p w:rsidR="00A54496" w:rsidRPr="00A54496" w:rsidRDefault="00A54496" w:rsidP="00A54496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Acțiunea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penală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acțiunea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civilă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procesul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penal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II - Cap. 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II);</w:t>
      </w:r>
    </w:p>
    <w:p w:rsidR="00A54496" w:rsidRPr="00A54496" w:rsidRDefault="00A54496" w:rsidP="00A54496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Participanții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procesul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penal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III - Cap. I, Cap. II -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Secțiunea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5-a, Cap. III, Cap. IV, Cap. V, Cap. VI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VII);</w:t>
      </w:r>
    </w:p>
    <w:p w:rsidR="00A54496" w:rsidRPr="00A54496" w:rsidRDefault="00A54496" w:rsidP="00A54496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Probele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mijloacele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probă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procedeele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probatorii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IV);</w:t>
      </w:r>
    </w:p>
    <w:p w:rsidR="00A54496" w:rsidRPr="00A54496" w:rsidRDefault="00A54496" w:rsidP="00A54496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Măsurile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preventive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alte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măsuri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procesuale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 - Cap. 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III);</w:t>
      </w:r>
    </w:p>
    <w:p w:rsidR="00A54496" w:rsidRPr="00A54496" w:rsidRDefault="00A54496" w:rsidP="00A54496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Acte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procesuale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procedurale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comune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VI).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PARTEA SPECIALĂ</w:t>
      </w:r>
    </w:p>
    <w:p w:rsidR="00A54496" w:rsidRPr="00A54496" w:rsidRDefault="00A54496" w:rsidP="00A54496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Urmărirea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penală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I);</w:t>
      </w:r>
    </w:p>
    <w:p w:rsidR="00A54496" w:rsidRPr="00A54496" w:rsidRDefault="00A54496" w:rsidP="00A54496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lastRenderedPageBreak/>
        <w:t>Proceduri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speciale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IV - Cap. I);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2.2. </w:t>
      </w:r>
      <w:r w:rsidRPr="00A54496">
        <w:rPr>
          <w:rFonts w:ascii="Times" w:eastAsia="Times New Roman" w:hAnsi="Times" w:cs="Arial"/>
          <w:b/>
          <w:bCs/>
          <w:sz w:val="28"/>
          <w:szCs w:val="28"/>
          <w:u w:val="single"/>
          <w:lang w:val="en-US"/>
        </w:rPr>
        <w:t>BIBLIOGRAFIE</w:t>
      </w:r>
    </w:p>
    <w:p w:rsidR="00A54496" w:rsidRPr="00A54496" w:rsidRDefault="00A54496" w:rsidP="00A54496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Legea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nr. 286/2009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Codul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Penal</w:t>
      </w:r>
    </w:p>
    <w:p w:rsidR="00A54496" w:rsidRPr="00A54496" w:rsidRDefault="00A54496" w:rsidP="00A54496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PARTEA GENERALĂ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II - Cap. I, Cap. II, Cap. III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VI;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VI - Cap. 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II;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VII)</w:t>
      </w:r>
    </w:p>
    <w:p w:rsidR="00A54496" w:rsidRPr="00A54496" w:rsidRDefault="00A54496" w:rsidP="00A54496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PARTEA SPECIALĂ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 - Cap. I, Cap. II, Cap. V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VI;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II;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IV,</w:t>
      </w:r>
      <w:proofErr w:type="gramStart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 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proofErr w:type="gram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V;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VI - Cap. II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III)</w:t>
      </w:r>
    </w:p>
    <w:p w:rsidR="00A54496" w:rsidRPr="00A54496" w:rsidRDefault="00A54496" w:rsidP="00A54496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Legea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nr. 135/2010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Codul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Procedură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Penală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PARTEA GENERALĂ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II - Cap. 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II;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III- Cap. I, Cap. II -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Secțiunea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5-a, Cap. III, Cap. IV, Cap. V, Cap. VI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VII;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IV;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 - Cap. I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Cap. III;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VI);</w:t>
      </w:r>
    </w:p>
    <w:p w:rsidR="00A54496" w:rsidRPr="00A54496" w:rsidRDefault="00A54496" w:rsidP="00A54496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PARTEA SPECIALĂ (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Titlul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IV- Cap. I)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CAPITOLUL III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3.1</w:t>
      </w:r>
      <w:proofErr w:type="gramStart"/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.TEMATICĂ</w:t>
      </w:r>
      <w:proofErr w:type="gramEnd"/>
    </w:p>
    <w:p w:rsidR="00A54496" w:rsidRPr="00A54496" w:rsidRDefault="00A54496" w:rsidP="00A5449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Paza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obiectivelor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bunurilor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valorilor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şi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protecția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persoanelor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Normele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metodologice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aplicare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Legii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nr. 333/2003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paza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obiectivelor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bunurilor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valorilor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protecția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persoanelor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;</w:t>
      </w:r>
    </w:p>
    <w:p w:rsidR="00A54496" w:rsidRPr="00A54496" w:rsidRDefault="00A54496" w:rsidP="00A54496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Efectuarea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analizelor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risc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la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securitate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fizică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la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unitățile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proofErr w:type="gramStart"/>
      <w:r w:rsidRPr="00A54496">
        <w:rPr>
          <w:rFonts w:ascii="Times" w:eastAsia="Times New Roman" w:hAnsi="Times" w:cs="Arial"/>
          <w:sz w:val="28"/>
          <w:szCs w:val="28"/>
          <w:lang w:val="en-US"/>
        </w:rPr>
        <w:t>ce</w:t>
      </w:r>
      <w:proofErr w:type="spellEnd"/>
      <w:proofErr w:type="gram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fac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obiectul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Legii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nr. 333/2003,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paza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obiectivelor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bunurilor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valorilor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protecția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persoanelor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3.2. BIBLIOGRAFIE</w:t>
      </w:r>
    </w:p>
    <w:p w:rsidR="00A54496" w:rsidRPr="00A54496" w:rsidRDefault="00A54496" w:rsidP="00A54496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Legea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nr. 333/2003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paza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obiectivelor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bunurilor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valorilor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şi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protecția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persoanelor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republicată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cu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modificările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completările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ulterioare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(integral);</w:t>
      </w:r>
    </w:p>
    <w:p w:rsidR="00A54496" w:rsidRPr="00A54496" w:rsidRDefault="00A54496" w:rsidP="00A54496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lastRenderedPageBreak/>
        <w:t xml:space="preserve">H.G. nr. 301/2012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pentru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aprobarea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Normelor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metodologice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aplicare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Legii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nr. 333/2003,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paza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obiectivelor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bunurilor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valorilor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şi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protecția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persoanelor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cu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modificările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completările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ulterioare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(integral);</w:t>
      </w:r>
    </w:p>
    <w:p w:rsidR="00A54496" w:rsidRPr="00A54496" w:rsidRDefault="00A54496" w:rsidP="00A54496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Instrucțiunile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MAI nr. 9/2013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efectuarea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analizelor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risc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la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securitatea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fizică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la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unitățile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proofErr w:type="gramStart"/>
      <w:r w:rsidRPr="00A54496">
        <w:rPr>
          <w:rFonts w:ascii="Times" w:eastAsia="Times New Roman" w:hAnsi="Times" w:cs="Arial"/>
          <w:sz w:val="28"/>
          <w:szCs w:val="28"/>
          <w:lang w:val="en-US"/>
        </w:rPr>
        <w:t>ce</w:t>
      </w:r>
      <w:proofErr w:type="spellEnd"/>
      <w:proofErr w:type="gram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fac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obiectul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Legii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nr. 333/2003,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paza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obiectivelor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bunurilor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valorilor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protecția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persoanelor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(integral);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CAPITOLUL IV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4.1. TEMATICA</w:t>
      </w:r>
    </w:p>
    <w:p w:rsidR="00A54496" w:rsidRPr="00A54496" w:rsidRDefault="00A54496" w:rsidP="00A54496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Regimul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juridic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al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contravențiilor</w:t>
      </w:r>
      <w:proofErr w:type="spellEnd"/>
    </w:p>
    <w:p w:rsidR="00A54496" w:rsidRPr="00A54496" w:rsidRDefault="00A54496" w:rsidP="00A54496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Accesul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liber la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informațiile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interes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public;</w:t>
      </w:r>
    </w:p>
    <w:p w:rsidR="00A54496" w:rsidRPr="00A54496" w:rsidRDefault="00A54496" w:rsidP="00A54496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Reglementarea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activității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soluționare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petițiilor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 </w:t>
      </w:r>
    </w:p>
    <w:p w:rsidR="00A54496" w:rsidRPr="00A54496" w:rsidRDefault="00A54496" w:rsidP="00A54496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Activitățile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soluționare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petițiilor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primire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audiență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consiliere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cetățenilor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Ministerul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Afacerilor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Interne;</w:t>
      </w:r>
    </w:p>
    <w:p w:rsidR="00A54496" w:rsidRPr="00A54496" w:rsidRDefault="00A54496" w:rsidP="00A54496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Măsuri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punere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aplicare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Regulamentului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(UE) 2016/679 al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Parlamentului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European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al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Consiliului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din 27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aprilie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2016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protecția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persoanelor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fizice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ceea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privește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prelucrarea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datelor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cu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caracter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personal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libera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circulație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acestor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date;</w:t>
      </w:r>
    </w:p>
    <w:p w:rsidR="00A54496" w:rsidRPr="00A54496" w:rsidRDefault="00A54496" w:rsidP="00A54496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Clasificarea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declasificarea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informațiilor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.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Măsuri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minime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protecție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specifice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claselor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nivelurilor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secretizare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Reguli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generale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evidența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întocmirea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păstrarea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procesarea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multiplicarea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manipularea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transportul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transmiterea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distrugerea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informațiilor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clasificate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Contravenții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sancțiuni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la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normele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protecția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informațiilor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clasificate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.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b/>
          <w:bCs/>
          <w:sz w:val="28"/>
          <w:szCs w:val="28"/>
          <w:lang w:val="en-US"/>
        </w:rPr>
        <w:t>4.2. BIBLIOGRAFIE</w:t>
      </w:r>
    </w:p>
    <w:p w:rsidR="00A54496" w:rsidRPr="00A54496" w:rsidRDefault="00A54496" w:rsidP="00A54496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O.G. nr. 2/2001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regimul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juridic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al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contravențiilor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cu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modificările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completările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ulterioare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(integral)</w:t>
      </w:r>
    </w:p>
    <w:p w:rsidR="00A54496" w:rsidRPr="00A54496" w:rsidRDefault="00A54496" w:rsidP="00A54496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Legea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nr. 544/2001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liberul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acces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la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informațiile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interes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public, cu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modificările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completările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ulterioare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O.G. nr. 27/2002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reglementarea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activității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soluționare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petițiilor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cu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modificările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completările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ulterioare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;</w:t>
      </w:r>
    </w:p>
    <w:p w:rsidR="00A54496" w:rsidRPr="00A54496" w:rsidRDefault="00A54496" w:rsidP="00A54496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O.M.A.I. 33/2020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activitățile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soluționare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petițiilor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,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primirea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audiență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consiliere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cetățenilor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M.A.I.;</w:t>
      </w:r>
    </w:p>
    <w:p w:rsidR="00A54496" w:rsidRPr="00A54496" w:rsidRDefault="00A54496" w:rsidP="00A54496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lastRenderedPageBreak/>
        <w:t>Legea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nr. 190/2018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măsuri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punere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aplicare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Regulamentului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(UE) 2016/679 al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Parlamentului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European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al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Consiliului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din 27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aprilie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2016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protecția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persoanelor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fizice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ceea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privește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prelucrarea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datelor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cu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caracter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personal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privind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libera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circulație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acestor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date;</w:t>
      </w:r>
    </w:p>
    <w:p w:rsidR="00A54496" w:rsidRPr="00A54496" w:rsidRDefault="00A54496" w:rsidP="00A54496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H.G. nr. 585/2002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pentru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aprobarea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Standardelor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Naționale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de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protecție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a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informațiilor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clasificate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sz w:val="28"/>
          <w:szCs w:val="28"/>
          <w:lang w:val="en-US"/>
        </w:rPr>
        <w:t>România</w:t>
      </w:r>
      <w:proofErr w:type="spellEnd"/>
      <w:r w:rsidRPr="00A54496">
        <w:rPr>
          <w:rFonts w:ascii="Times" w:eastAsia="Times New Roman" w:hAnsi="Times" w:cs="Arial"/>
          <w:sz w:val="28"/>
          <w:szCs w:val="28"/>
          <w:lang w:val="en-US"/>
        </w:rPr>
        <w:t>, (Cap. 2, Cap. 3, Cap.9)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="100" w:beforeAutospacing="1" w:after="10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sz w:val="28"/>
          <w:szCs w:val="28"/>
          <w:lang w:val="en-US"/>
        </w:rPr>
        <w:t> 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*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Candidații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vor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studia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tematica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bibliografia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specifică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postului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pentru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care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candidează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.</w:t>
      </w:r>
    </w:p>
    <w:p w:rsidR="00A54496" w:rsidRPr="00A54496" w:rsidRDefault="00A54496" w:rsidP="00A54496">
      <w:pPr>
        <w:spacing w:beforeAutospacing="1" w:after="0" w:afterAutospacing="1" w:line="240" w:lineRule="auto"/>
        <w:jc w:val="both"/>
        <w:rPr>
          <w:rFonts w:ascii="Times" w:eastAsia="Times New Roman" w:hAnsi="Times" w:cs="Arial"/>
          <w:sz w:val="28"/>
          <w:szCs w:val="28"/>
          <w:lang w:val="en-US"/>
        </w:rPr>
      </w:pPr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*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Candidații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vor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studia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actele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normative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stabilite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în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bibliografie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cu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toate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modificările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și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completările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avute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la data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publicării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prezentului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anunț</w:t>
      </w:r>
      <w:proofErr w:type="spellEnd"/>
      <w:r w:rsidRPr="00A54496">
        <w:rPr>
          <w:rFonts w:ascii="Times" w:eastAsia="Times New Roman" w:hAnsi="Times" w:cs="Arial"/>
          <w:i/>
          <w:iCs/>
          <w:sz w:val="28"/>
          <w:szCs w:val="28"/>
          <w:u w:val="single"/>
          <w:lang w:val="en-US"/>
        </w:rPr>
        <w:t>.</w:t>
      </w:r>
    </w:p>
    <w:p w:rsidR="002D1C67" w:rsidRPr="00A54496" w:rsidRDefault="00A54496">
      <w:pPr>
        <w:rPr>
          <w:rFonts w:ascii="Times" w:hAnsi="Times"/>
          <w:sz w:val="28"/>
          <w:szCs w:val="28"/>
        </w:rPr>
      </w:pPr>
    </w:p>
    <w:sectPr w:rsidR="002D1C67" w:rsidRPr="00A54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A3DE2"/>
    <w:multiLevelType w:val="multilevel"/>
    <w:tmpl w:val="69AC6C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46829A0"/>
    <w:multiLevelType w:val="multilevel"/>
    <w:tmpl w:val="542C7B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06727C95"/>
    <w:multiLevelType w:val="multilevel"/>
    <w:tmpl w:val="4A2A8D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0BFB5D0A"/>
    <w:multiLevelType w:val="multilevel"/>
    <w:tmpl w:val="1D0002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19CC50CF"/>
    <w:multiLevelType w:val="multilevel"/>
    <w:tmpl w:val="A104B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D41C0D"/>
    <w:multiLevelType w:val="multilevel"/>
    <w:tmpl w:val="855A2F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24853836"/>
    <w:multiLevelType w:val="multilevel"/>
    <w:tmpl w:val="3FE83C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449012FC"/>
    <w:multiLevelType w:val="multilevel"/>
    <w:tmpl w:val="15B4FD9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5E5C31F5"/>
    <w:multiLevelType w:val="multilevel"/>
    <w:tmpl w:val="5F584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9E04AF"/>
    <w:multiLevelType w:val="multilevel"/>
    <w:tmpl w:val="98B4B0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63A32635"/>
    <w:multiLevelType w:val="multilevel"/>
    <w:tmpl w:val="FEC08E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6C2644F9"/>
    <w:multiLevelType w:val="multilevel"/>
    <w:tmpl w:val="7158A5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6CE8611F"/>
    <w:multiLevelType w:val="multilevel"/>
    <w:tmpl w:val="7FCE96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>
    <w:nsid w:val="7081626D"/>
    <w:multiLevelType w:val="multilevel"/>
    <w:tmpl w:val="7FDCA2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"/>
    <w:lvlOverride w:ilvl="0">
      <w:startOverride w:val="1"/>
    </w:lvlOverride>
  </w:num>
  <w:num w:numId="2">
    <w:abstractNumId w:val="2"/>
  </w:num>
  <w:num w:numId="3">
    <w:abstractNumId w:val="8"/>
    <w:lvlOverride w:ilvl="0">
      <w:startOverride w:val="1"/>
    </w:lvlOverride>
  </w:num>
  <w:num w:numId="4">
    <w:abstractNumId w:val="12"/>
  </w:num>
  <w:num w:numId="5">
    <w:abstractNumId w:val="7"/>
  </w:num>
  <w:num w:numId="6">
    <w:abstractNumId w:val="10"/>
  </w:num>
  <w:num w:numId="7">
    <w:abstractNumId w:val="13"/>
  </w:num>
  <w:num w:numId="8">
    <w:abstractNumId w:val="1"/>
  </w:num>
  <w:num w:numId="9">
    <w:abstractNumId w:val="3"/>
  </w:num>
  <w:num w:numId="10">
    <w:abstractNumId w:val="0"/>
  </w:num>
  <w:num w:numId="11">
    <w:abstractNumId w:val="11"/>
  </w:num>
  <w:num w:numId="12">
    <w:abstractNumId w:val="5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31F"/>
    <w:rsid w:val="00613D31"/>
    <w:rsid w:val="008305D3"/>
    <w:rsid w:val="008540EB"/>
    <w:rsid w:val="00A54496"/>
    <w:rsid w:val="00A7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302759-09D6-458F-A930-E3BACCB6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896</Words>
  <Characters>5108</Characters>
  <Application>Microsoft Office Word</Application>
  <DocSecurity>0</DocSecurity>
  <Lines>42</Lines>
  <Paragraphs>11</Paragraphs>
  <ScaleCrop>false</ScaleCrop>
  <Company/>
  <LinksUpToDate>false</LinksUpToDate>
  <CharactersWithSpaces>5993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cocor marian CL</dc:creator>
  <cp:keywords/>
  <dc:description/>
  <cp:lastModifiedBy>cocor marian CL</cp:lastModifiedBy>
  <cp:revision>2</cp:revision>
  <dcterms:created xsi:type="dcterms:W3CDTF">2021-09-23T17:00:00Z</dcterms:created>
  <dcterms:modified xsi:type="dcterms:W3CDTF">2021-09-23T17:01:00Z</dcterms:modified>
</cp:coreProperties>
</file>